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5/20/2025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Marian Stonehocker, Elizabeth Loyd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Kimberly Johnson, Robert Johnson, Vanessa Pallister, Alisa Garcia and      Katie Platz.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</w:t>
        <w:tab/>
        <w:tab/>
        <w:t xml:space="preserve">6:09 p.m. on 5/20/25 in the Trout Creek School 6th - 8th Grade Room.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Comment: </w:t>
      </w:r>
      <w:r w:rsidDel="00000000" w:rsidR="00000000" w:rsidRPr="00000000">
        <w:rPr>
          <w:rtl w:val="0"/>
        </w:rPr>
        <w:t xml:space="preserve">No public comments: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 Adjustment to the Order and Approval: </w:t>
      </w:r>
      <w:r w:rsidDel="00000000" w:rsidR="00000000" w:rsidRPr="00000000">
        <w:rPr>
          <w:rtl w:val="0"/>
        </w:rPr>
        <w:t xml:space="preserve">No adjustments.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adjusted.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Appointment of Board Chair: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Rasor accepted nominations and D. Scott Rasor was put forward.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D. Scott Rasor as Chair.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 2 for and Mr. Rasor abstained.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Appointment of Board Vice Chair: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Rasor accepted nominations and Elizabeth Loyd was put forward.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Elizabeth Loyd as Vice Chair.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Mr. Rasor.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 2 for and Mrs. Loyd abstained.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Appointment of Board Legislative Contact: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Rasor accepted nominations and D. Scott Rasor was put forward.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D. Scott Rasor as Legislative Contact.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Loyd.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 2 for and Mr. Rasor abstained.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Appointment of District Clerk: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Rasor accepted nominations and Robert Johnson was put forward.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Mr. Robert Johnson as District Clerk.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Garcia administered the Oath of Office for the newly appointed District Clerk, Robert Johnson.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Accept Resignation of Colby Bacon: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Action read to cepted Resignation of Colby Bacon as Trustee.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Tri-District Transportation Agreement: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Clerk Job Description:</w:t>
      </w:r>
    </w:p>
    <w:p w:rsidR="00000000" w:rsidDel="00000000" w:rsidP="00000000" w:rsidRDefault="00000000" w:rsidRPr="00000000" w14:paraId="0000002C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presented the new Job description.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as presented. 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Stipend for Spanish Instructor:</w:t>
      </w:r>
    </w:p>
    <w:p w:rsidR="00000000" w:rsidDel="00000000" w:rsidP="00000000" w:rsidRDefault="00000000" w:rsidRPr="00000000" w14:paraId="0000003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Johnson presented the need for this stipend. The Spanish section in the school 7-8 grade curriculum has some issues and the school is instead using one of our substitutes who is a licensed Spanish teacher to teach this subject. The stipend is for 9 to 10 sessions and will pay $300 for the stipend. 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as presented. 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3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Trustee Training Dates:</w:t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Discussion was had and June 23, 2025, was requested for the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6:26 p.m.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The next Regular Board Meeting is scheduled for Monday, June 9, 2025.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Clerk</w:t>
        <w:tab/>
        <w:t xml:space="preserve">         </w:t>
        <w:tab/>
        <w:tab/>
        <w:t xml:space="preserve">     </w:t>
        <w:tab/>
        <w:t xml:space="preserve">Date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  <w:t xml:space="preserve">Elizabeth Loyd, Board Vice Chair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